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0" w:beforeAutospacing="0" w:after="0" w:afterAutospacing="0"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大赛评</w:t>
      </w:r>
      <w:r>
        <w:rPr>
          <w:rFonts w:hint="default" w:ascii="方正小标宋简体" w:hAnsi="方正小标宋简体" w:eastAsia="方正小标宋简体" w:cs="方正小标宋简体"/>
          <w:b/>
          <w:bCs/>
          <w:sz w:val="44"/>
          <w:szCs w:val="44"/>
        </w:rPr>
        <w:t>奖</w:t>
      </w:r>
      <w:r>
        <w:rPr>
          <w:rFonts w:hint="eastAsia" w:ascii="方正小标宋简体" w:hAnsi="方正小标宋简体" w:eastAsia="方正小标宋简体" w:cs="方正小标宋简体"/>
          <w:b/>
          <w:bCs/>
          <w:sz w:val="44"/>
          <w:szCs w:val="44"/>
        </w:rPr>
        <w:t>细则</w:t>
      </w:r>
    </w:p>
    <w:p>
      <w:pPr>
        <w:pStyle w:val="11"/>
        <w:spacing w:before="0" w:beforeAutospacing="0" w:after="0" w:afterAutospacing="0" w:line="560" w:lineRule="exact"/>
        <w:jc w:val="center"/>
        <w:rPr>
          <w:rFonts w:hint="eastAsia" w:ascii="方正小标宋简体" w:hAnsi="方正小标宋简体" w:eastAsia="方正小标宋简体" w:cs="方正小标宋简体"/>
          <w:sz w:val="44"/>
          <w:szCs w:val="44"/>
        </w:rPr>
      </w:pPr>
    </w:p>
    <w:p>
      <w:pPr>
        <w:pStyle w:val="11"/>
        <w:spacing w:before="0" w:beforeAutospacing="0" w:after="0" w:afterAutospacing="0" w:line="560" w:lineRule="exact"/>
        <w:jc w:val="left"/>
        <w:rPr>
          <w:rFonts w:hint="eastAsia" w:ascii="黑体" w:hAnsi="黑体" w:eastAsia="黑体" w:cs="黑体"/>
          <w:sz w:val="32"/>
          <w:szCs w:val="32"/>
        </w:rPr>
      </w:pPr>
      <w:r>
        <w:rPr>
          <w:rFonts w:hint="eastAsia" w:ascii="黑体" w:hAnsi="黑体" w:eastAsia="黑体" w:cs="黑体"/>
          <w:sz w:val="32"/>
          <w:szCs w:val="32"/>
        </w:rPr>
        <w:t>总则：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本次大赛评分由高到低确定各个奖项，总分包括网络投票30分，组委会专家评分70分两部分组成。如最终得分相同，则以组委会专家评审分数由高到低确定各个奖项。</w:t>
      </w:r>
    </w:p>
    <w:p>
      <w:pPr>
        <w:pStyle w:val="11"/>
        <w:spacing w:before="0" w:beforeAutospacing="0" w:after="0" w:afterAutospacing="0" w:line="560" w:lineRule="exact"/>
        <w:jc w:val="left"/>
        <w:rPr>
          <w:rFonts w:hint="eastAsia" w:ascii="黑体" w:hAnsi="黑体" w:eastAsia="黑体" w:cs="黑体"/>
          <w:sz w:val="32"/>
          <w:szCs w:val="32"/>
        </w:rPr>
      </w:pPr>
      <w:r>
        <w:rPr>
          <w:rFonts w:hint="eastAsia" w:ascii="黑体" w:hAnsi="黑体" w:eastAsia="黑体" w:cs="黑体"/>
          <w:sz w:val="32"/>
          <w:szCs w:val="32"/>
        </w:rPr>
        <w:t>一、网络投票评分规则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以第一名票数a为最高有效票数，如要计算其他选手b所占的分值比例，则用b除以最高有效票数，记为b/a，所得分值比例x30则为最后得分。</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例如：</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第一名为：10000票</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第二名为：8000票</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第三名为：6000票</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第一名得分：10000/10000*30=30分</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第二名得分：8000/10000*30=24分</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第三名得分：6000/10000*30=18分</w:t>
      </w:r>
    </w:p>
    <w:p>
      <w:pPr>
        <w:pStyle w:val="11"/>
        <w:spacing w:before="0" w:beforeAutospacing="0" w:after="0" w:afterAutospacing="0" w:line="560" w:lineRule="exact"/>
        <w:jc w:val="left"/>
        <w:rPr>
          <w:rFonts w:hint="eastAsia" w:ascii="黑体" w:hAnsi="黑体" w:eastAsia="黑体" w:cs="黑体"/>
          <w:sz w:val="32"/>
          <w:szCs w:val="32"/>
        </w:rPr>
      </w:pPr>
      <w:r>
        <w:rPr>
          <w:rFonts w:hint="default" w:ascii="黑体" w:hAnsi="黑体" w:eastAsia="黑体" w:cs="黑体"/>
          <w:sz w:val="32"/>
          <w:szCs w:val="32"/>
        </w:rPr>
        <w:t>二、</w:t>
      </w:r>
      <w:r>
        <w:rPr>
          <w:rFonts w:hint="eastAsia" w:ascii="黑体" w:hAnsi="黑体" w:eastAsia="黑体" w:cs="黑体"/>
          <w:sz w:val="32"/>
          <w:szCs w:val="32"/>
        </w:rPr>
        <w:t>组委会专家评分规则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赛奖项评审团专家团队由巴彦淖尔“天赋河套”优质农产行业协会、内蒙古巴彦绿业实业有限公司、巴彦淖尔市绿色产业统筹发展办公室和重庆猪八戒蟠桃企业管理有限公司共同选派，奖项最终评选结果需大赛专家评审团组长签字确认。</w:t>
      </w:r>
    </w:p>
    <w:p>
      <w:pPr>
        <w:pStyle w:val="11"/>
        <w:spacing w:before="0" w:beforeAutospacing="0" w:after="0" w:afterAutospacing="0" w:line="560" w:lineRule="exact"/>
        <w:jc w:val="left"/>
        <w:rPr>
          <w:rFonts w:hint="default" w:ascii="黑体" w:hAnsi="黑体" w:eastAsia="黑体" w:cs="黑体"/>
          <w:sz w:val="32"/>
          <w:szCs w:val="32"/>
        </w:rPr>
      </w:pPr>
    </w:p>
    <w:p>
      <w:pPr>
        <w:pStyle w:val="11"/>
        <w:spacing w:before="0" w:beforeAutospacing="0" w:after="0" w:afterAutospacing="0" w:line="560" w:lineRule="exact"/>
        <w:jc w:val="left"/>
        <w:rPr>
          <w:rFonts w:hint="eastAsia" w:ascii="黑体" w:hAnsi="黑体" w:eastAsia="黑体" w:cs="黑体"/>
          <w:sz w:val="32"/>
          <w:szCs w:val="32"/>
        </w:rPr>
      </w:pPr>
      <w:bookmarkStart w:id="0" w:name="_GoBack"/>
      <w:bookmarkEnd w:id="0"/>
      <w:r>
        <w:rPr>
          <w:rFonts w:hint="default" w:ascii="黑体" w:hAnsi="黑体" w:eastAsia="黑体" w:cs="黑体"/>
          <w:sz w:val="32"/>
          <w:szCs w:val="32"/>
        </w:rPr>
        <w:t>（一）</w:t>
      </w:r>
      <w:r>
        <w:rPr>
          <w:rFonts w:hint="eastAsia" w:ascii="黑体" w:hAnsi="黑体" w:eastAsia="黑体" w:cs="黑体"/>
          <w:sz w:val="32"/>
          <w:szCs w:val="32"/>
        </w:rPr>
        <w:t>巴彦淖尔农旅形象大使评分规则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设计要求:</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1、设计作品需体现巴彦淖尔独特的地域元素、自然资源和人文底蕴，具有农旅属性，能与“天赋河套”品牌和旅游资源有效互动；</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2、形象寓意深刻、创意新颖、具备亲切感，赋予作品人格魅力化，易于识别记忆和推广宣传，具有周边产品延展性（如雕刻、公仔、毛绒玩具、T恤等）；</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3、参赛者需提供形象大使三维视图（含：正面、侧面、背面）；</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4、形象大使名字响亮且富有内涵；</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5、参赛作者须在上传页面中写明作品名称、创作理念、色标、色值等其他说明。</w:t>
      </w:r>
    </w:p>
    <w:p>
      <w:pPr>
        <w:pStyle w:val="11"/>
        <w:spacing w:before="0" w:beforeAutospacing="0" w:after="0" w:afterAutospacing="0" w:line="560" w:lineRule="exact"/>
        <w:ind w:firstLine="561" w:firstLineChars="200"/>
        <w:jc w:val="left"/>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评分细则：</w:t>
      </w:r>
    </w:p>
    <w:tbl>
      <w:tblPr>
        <w:tblStyle w:val="15"/>
        <w:tblpPr w:leftFromText="180" w:rightFromText="180" w:vertAnchor="text" w:horzAnchor="page" w:tblpX="806" w:tblpY="264"/>
        <w:tblOverlap w:val="never"/>
        <w:tblW w:w="10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446"/>
        <w:gridCol w:w="990"/>
        <w:gridCol w:w="3678"/>
        <w:gridCol w:w="1108"/>
        <w:gridCol w:w="1071"/>
        <w:gridCol w:w="1003"/>
      </w:tblGrid>
      <w:tr>
        <w:tblPrEx>
          <w:tblLayout w:type="fixed"/>
        </w:tblPrEx>
        <w:trPr>
          <w:trHeight w:val="90" w:hRule="atLeast"/>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评分要素</w:t>
            </w:r>
          </w:p>
        </w:tc>
        <w:tc>
          <w:tcPr>
            <w:tcW w:w="14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评分要点</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36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评审标准</w:t>
            </w:r>
          </w:p>
        </w:tc>
        <w:tc>
          <w:tcPr>
            <w:tcW w:w="318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41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p>
        </w:tc>
        <w:tc>
          <w:tcPr>
            <w:tcW w:w="14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p>
        </w:tc>
        <w:tc>
          <w:tcPr>
            <w:tcW w:w="9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p>
        </w:tc>
        <w:tc>
          <w:tcPr>
            <w:tcW w:w="36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良好</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8" w:type="dxa"/>
            <w:vMerge w:val="restart"/>
            <w:tcBorders>
              <w:top w:val="single" w:color="auto" w:sz="4" w:space="0"/>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作品选题</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创作理念</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携带地域元素，农旅属性清晰，独具人格魅力（感染力与号召力）</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18" w:type="dxa"/>
            <w:vMerge w:val="continue"/>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大使命名</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响亮且富有内涵，朗朗上口易于传播记忆</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Layout w:type="fixed"/>
        </w:tblPrEx>
        <w:tc>
          <w:tcPr>
            <w:tcW w:w="1418" w:type="dxa"/>
            <w:vMerge w:val="restart"/>
            <w:tcBorders>
              <w:top w:val="single" w:color="auto" w:sz="4" w:space="0"/>
              <w:left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方案设计</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形象创造</w:t>
            </w:r>
          </w:p>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形象创意新颖、活泼可爱，具有识别性，易于记忆和推广宣传</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20-15</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14-10</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9-5</w:t>
            </w:r>
          </w:p>
        </w:tc>
      </w:tr>
      <w:tr>
        <w:tblPrEx>
          <w:tblLayout w:type="fixed"/>
        </w:tblPrEx>
        <w:trPr>
          <w:trHeight w:val="571"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视觉感受</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色彩协调,具有视觉传播力,契合主题</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Layout w:type="fixed"/>
        </w:tblPrEx>
        <w:trPr>
          <w:trHeight w:val="626" w:hRule="atLeast"/>
        </w:trPr>
        <w:tc>
          <w:tcPr>
            <w:tcW w:w="1418" w:type="dxa"/>
            <w:vMerge w:val="restart"/>
            <w:tcBorders>
              <w:top w:val="single" w:color="auto" w:sz="4" w:space="0"/>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后期应用</w:t>
            </w: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后期制作</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作品完整,同时标注设计作品的使用材质和制作标准</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Layout w:type="fixed"/>
        </w:tblPrEx>
        <w:trPr>
          <w:trHeight w:val="369" w:hRule="atLeast"/>
        </w:trPr>
        <w:tc>
          <w:tcPr>
            <w:tcW w:w="1418" w:type="dxa"/>
            <w:vMerge w:val="continue"/>
            <w:tcBorders>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ind w:firstLine="560" w:firstLineChars="200"/>
              <w:jc w:val="center"/>
              <w:rPr>
                <w:rFonts w:hint="eastAsia" w:ascii="仿宋_GB2312" w:hAnsi="仿宋_GB2312" w:eastAsia="仿宋_GB2312" w:cs="仿宋_GB2312"/>
                <w:sz w:val="28"/>
                <w:szCs w:val="28"/>
              </w:rPr>
            </w:pPr>
          </w:p>
        </w:tc>
        <w:tc>
          <w:tcPr>
            <w:tcW w:w="144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场景应用</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67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应用力强,易于记忆与传播推广, 适用于各种宣传媒介</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bl>
    <w:p>
      <w:pPr>
        <w:pStyle w:val="11"/>
        <w:spacing w:before="0" w:beforeAutospacing="0" w:after="0" w:afterAutospacing="0" w:line="560" w:lineRule="exact"/>
        <w:jc w:val="left"/>
        <w:rPr>
          <w:rFonts w:hint="eastAsia" w:ascii="黑体" w:hAnsi="黑体" w:eastAsia="黑体" w:cs="黑体"/>
          <w:sz w:val="32"/>
          <w:szCs w:val="32"/>
        </w:rPr>
      </w:pPr>
    </w:p>
    <w:p>
      <w:pPr>
        <w:pStyle w:val="11"/>
        <w:spacing w:before="0" w:beforeAutospacing="0" w:after="0" w:afterAutospacing="0" w:line="560" w:lineRule="exact"/>
        <w:jc w:val="left"/>
        <w:rPr>
          <w:rFonts w:hint="eastAsia" w:ascii="黑体" w:hAnsi="黑体" w:eastAsia="黑体" w:cs="黑体"/>
          <w:sz w:val="32"/>
          <w:szCs w:val="32"/>
        </w:rPr>
      </w:pPr>
      <w:r>
        <w:rPr>
          <w:rFonts w:hint="eastAsia" w:ascii="黑体" w:hAnsi="黑体" w:eastAsia="黑体" w:cs="黑体"/>
          <w:sz w:val="32"/>
          <w:szCs w:val="32"/>
        </w:rPr>
        <w:t>（二）“天赋河套”七大优势产业产品包装评分规则</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设计要求:</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1、设计类别：参赛者从粮油、肉乳绒、籽类炒货、瓜果蔬菜、蒙中药材、酿造加工、民族特色7大产业产品、42个单品（单品明细见附件一）中任选类别或单品，提供不少于3款单品的包装设计作品，同个单品的不同规格视为一款包装；</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2、设计方向：设计风格以河套文化、蒙元文化为基础，与“天赋河套”品牌理念、形象主调性统一，展现品牌特有魅力，画面简洁经典，符合大众审美和消费需求，具备行业识别度，作品需包含主LOGO“天赋河套”并预留子LOGO授权企业位置；</w:t>
      </w:r>
    </w:p>
    <w:p>
      <w:pPr>
        <w:pStyle w:val="11"/>
        <w:spacing w:before="0" w:beforeAutospacing="0" w:after="0" w:afterAutospacing="0" w:line="560" w:lineRule="exact"/>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备注：①“天赋河套”品牌须以“母子品牌”形式使用，并排列在企业产品商标之前或之上，规格不得小于企业商标的规格。②“天赋河套”LOGO及文字不得改变原有颜色及比例。（使用时LOGO下方须加白色保护底色，不可侵入LOGO四周保护区域，LOGO位置不可以边缘化，天赋河套LOGO每个页面仅可出现一次）③不得将“天赋河套”LOGO及文字用于任何除参赛作品以外的地方，一经发现将通过法律程序处理。</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3、包装方向：包装造型美观大方、独具特色、环保生态，设计结构、图形应便于实物印刷制作、市场运输推广、消费者携带（可设计盒、袋、箱、礼盒、伴手礼、土特产礼包、手提袋、单品高端礼盒等）；</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4、市场推广：制作成本合理，满足产业化和规模化生产需求，有较好的开发价值和市场前景。</w:t>
      </w:r>
    </w:p>
    <w:p>
      <w:pPr>
        <w:pStyle w:val="11"/>
        <w:spacing w:before="0" w:beforeAutospacing="0" w:after="0" w:afterAutospacing="0" w:line="560" w:lineRule="exact"/>
        <w:ind w:firstLine="560" w:firstLineChars="2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5、参赛作者须在上传页面中写明创作理念、色标、色值等其他说明。</w:t>
      </w:r>
    </w:p>
    <w:p>
      <w:pPr>
        <w:pStyle w:val="11"/>
        <w:spacing w:before="0" w:beforeAutospacing="0" w:after="0" w:afterAutospacing="0" w:line="560" w:lineRule="exact"/>
        <w:ind w:firstLine="560" w:firstLineChars="200"/>
        <w:jc w:val="left"/>
        <w:rPr>
          <w:rFonts w:hint="eastAsia" w:ascii="仿宋_GB2312K" w:hAnsi="仿宋_GB2312K" w:eastAsia="仿宋_GB2312K" w:cs="仿宋_GB2312K"/>
          <w:b w:val="0"/>
          <w:bCs w:val="0"/>
          <w:sz w:val="28"/>
          <w:szCs w:val="28"/>
        </w:rPr>
      </w:pPr>
      <w:r>
        <w:rPr>
          <w:rFonts w:hint="eastAsia" w:ascii="仿宋_GB2312" w:hAnsi="仿宋_GB2312" w:eastAsia="仿宋_GB2312" w:cs="仿宋_GB2312"/>
          <w:b w:val="0"/>
          <w:bCs w:val="0"/>
          <w:sz w:val="28"/>
          <w:szCs w:val="28"/>
        </w:rPr>
        <w:t>评分细则：</w:t>
      </w:r>
    </w:p>
    <w:tbl>
      <w:tblPr>
        <w:tblStyle w:val="15"/>
        <w:tblW w:w="10307" w:type="dxa"/>
        <w:tblInd w:w="-10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02"/>
        <w:gridCol w:w="838"/>
        <w:gridCol w:w="3728"/>
        <w:gridCol w:w="948"/>
        <w:gridCol w:w="1047"/>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trPr>
        <w:tc>
          <w:tcPr>
            <w:tcW w:w="13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评分要素</w:t>
            </w:r>
          </w:p>
        </w:tc>
        <w:tc>
          <w:tcPr>
            <w:tcW w:w="14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评分要点</w:t>
            </w:r>
          </w:p>
        </w:tc>
        <w:tc>
          <w:tcPr>
            <w:tcW w:w="8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w:t>
            </w:r>
          </w:p>
        </w:tc>
        <w:tc>
          <w:tcPr>
            <w:tcW w:w="3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评审标准</w:t>
            </w:r>
          </w:p>
        </w:tc>
        <w:tc>
          <w:tcPr>
            <w:tcW w:w="29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atLeast"/>
        </w:trPr>
        <w:tc>
          <w:tcPr>
            <w:tcW w:w="13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8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3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优秀</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良好</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trPr>
        <w:tc>
          <w:tcPr>
            <w:tcW w:w="1364" w:type="dxa"/>
            <w:vMerge w:val="restart"/>
            <w:tcBorders>
              <w:top w:val="single" w:color="auto" w:sz="4" w:space="0"/>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设计理念</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品牌理念</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与“天赋河套”品牌理念统一，展现品牌特有魅力，携带区域文化元素，富有底蕴</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4" w:hRule="atLeast"/>
        </w:trPr>
        <w:tc>
          <w:tcPr>
            <w:tcW w:w="1364" w:type="dxa"/>
            <w:vMerge w:val="continue"/>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行业属性</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品牌醒目，单品行业属性明确</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3" w:hRule="atLeast"/>
        </w:trPr>
        <w:tc>
          <w:tcPr>
            <w:tcW w:w="1364" w:type="dxa"/>
            <w:vMerge w:val="restart"/>
            <w:tcBorders>
              <w:top w:val="single" w:color="auto" w:sz="4" w:space="0"/>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作品呈现</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包装设计</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包装造型美观大方</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3" w:hRule="atLeast"/>
        </w:trPr>
        <w:tc>
          <w:tcPr>
            <w:tcW w:w="1364" w:type="dxa"/>
            <w:vMerge w:val="continue"/>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画面美感</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画面简洁经典，色彩搭配合理，与品牌风格统一，具有识别度，符合大众审美和消费需求</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15-11</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10-7</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1" w:hRule="atLeast"/>
        </w:trPr>
        <w:tc>
          <w:tcPr>
            <w:tcW w:w="1364" w:type="dxa"/>
            <w:vMerge w:val="continue"/>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创新程度</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具有独一性、创新性</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70" w:hRule="atLeast"/>
        </w:trPr>
        <w:tc>
          <w:tcPr>
            <w:tcW w:w="1364" w:type="dxa"/>
            <w:vMerge w:val="restart"/>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后期制作</w:t>
            </w: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实用价值</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便于运输及携带，民族特色类具有观赏、纪念、实用或一定的收藏价值</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0" w:hRule="atLeast"/>
        </w:trPr>
        <w:tc>
          <w:tcPr>
            <w:tcW w:w="1364" w:type="dxa"/>
            <w:vMerge w:val="continue"/>
            <w:tcBorders>
              <w:left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成本控制</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后期制作费用及工艺（材质）合理</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77" w:hRule="atLeast"/>
        </w:trPr>
        <w:tc>
          <w:tcPr>
            <w:tcW w:w="1364" w:type="dxa"/>
            <w:vMerge w:val="continue"/>
            <w:tcBorders>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p>
        </w:tc>
        <w:tc>
          <w:tcPr>
            <w:tcW w:w="140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生产要求</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372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制作工艺清晰，且满足产业化和规模化生产需求，有较好的开发价值和市场前景</w:t>
            </w:r>
          </w:p>
        </w:tc>
        <w:tc>
          <w:tcPr>
            <w:tcW w:w="9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10-8</w:t>
            </w:r>
          </w:p>
        </w:tc>
        <w:tc>
          <w:tcPr>
            <w:tcW w:w="10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7-5</w:t>
            </w:r>
          </w:p>
        </w:tc>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1"/>
              <w:spacing w:before="0" w:beforeAutospacing="0" w:after="0" w:afterAutospacing="0"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w:t>
            </w:r>
          </w:p>
        </w:tc>
      </w:tr>
    </w:tbl>
    <w:p>
      <w:pPr>
        <w:pStyle w:val="11"/>
        <w:spacing w:before="0" w:beforeAutospacing="0" w:after="0" w:afterAutospacing="0" w:line="560" w:lineRule="exact"/>
        <w:rPr>
          <w:rFonts w:hint="eastAsia" w:ascii="仿宋_GB2312K" w:hAnsi="仿宋_GB2312K" w:eastAsia="仿宋_GB2312K" w:cs="仿宋_GB2312K"/>
          <w:bCs/>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ingfang sc">
    <w:altName w:val="苹方-简"/>
    <w:panose1 w:val="00000000000000000000"/>
    <w:charset w:val="00"/>
    <w:family w:val="auto"/>
    <w:pitch w:val="default"/>
    <w:sig w:usb0="00000000" w:usb1="00000000" w:usb2="00000000" w:usb3="00000000" w:csb0="00000000" w:csb1="00000000"/>
  </w:font>
  <w:font w:name="方正仿宋_GBK">
    <w:altName w:val="苹方-简"/>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1A0F3C52" w:usb2="00000010" w:usb3="00000000" w:csb0="0004001F" w:csb1="00000000"/>
  </w:font>
  <w:font w:name="Tahoma">
    <w:panose1 w:val="020B0604030504040204"/>
    <w:charset w:val="00"/>
    <w:family w:val="auto"/>
    <w:pitch w:val="default"/>
    <w:sig w:usb0="E1002AFF" w:usb1="C000605B" w:usb2="00000029" w:usb3="00000000" w:csb0="200101FF" w:csb1="20280000"/>
  </w:font>
  <w:font w:name="Corbel">
    <w:altName w:val="苹方-简"/>
    <w:panose1 w:val="020B0503020204020204"/>
    <w:charset w:val="00"/>
    <w:family w:val="auto"/>
    <w:pitch w:val="default"/>
    <w:sig w:usb0="00000000" w:usb1="00000000" w:usb2="00000000" w:usb3="00000000" w:csb0="2000019F" w:csb1="00000000"/>
  </w:font>
  <w:font w:name="汉仪中黑KW">
    <w:panose1 w:val="00020600040101010101"/>
    <w:charset w:val="86"/>
    <w:family w:val="auto"/>
    <w:pitch w:val="default"/>
    <w:sig w:usb0="A00002BF" w:usb1="18EF7CFA" w:usb2="00000016" w:usb3="00000000" w:csb0="00040000" w:csb1="00000000"/>
  </w:font>
  <w:font w:name="times">
    <w:altName w:val="苹方-简"/>
    <w:panose1 w:val="00000000000000000000"/>
    <w:charset w:val="00"/>
    <w:family w:val="auto"/>
    <w:pitch w:val="default"/>
    <w:sig w:usb0="00000000" w:usb1="00000000" w:usb2="00000000" w:usb3="00000000" w:csb0="00040001" w:csb1="00000000"/>
  </w:font>
  <w:font w:name="方正小标宋简体">
    <w:altName w:val="汉仪书宋二KW"/>
    <w:panose1 w:val="02010601030101010101"/>
    <w:charset w:val="00"/>
    <w:family w:val="auto"/>
    <w:pitch w:val="default"/>
    <w:sig w:usb0="00000000" w:usb1="00000000" w:usb2="00000000" w:usb3="00000000" w:csb0="00040000" w:csb1="00000000"/>
  </w:font>
  <w:font w:name="方正仿宋_GBK">
    <w:altName w:val="苹方-简"/>
    <w:panose1 w:val="00000000000000000000"/>
    <w:charset w:val="00"/>
    <w:family w:val="script"/>
    <w:pitch w:val="default"/>
    <w:sig w:usb0="00000000" w:usb1="00000000" w:usb2="00000000" w:usb3="00000000" w:csb0="00040000" w:csb1="00000000"/>
  </w:font>
  <w:font w:name="仿宋_GB2312">
    <w:altName w:val="汉仪仿宋KW"/>
    <w:panose1 w:val="02010609030101010101"/>
    <w:charset w:val="00"/>
    <w:family w:val="auto"/>
    <w:pitch w:val="default"/>
    <w:sig w:usb0="00000000" w:usb1="00000000" w:usb2="00000000" w:usb3="00000000" w:csb0="00040000" w:csb1="00000000"/>
  </w:font>
  <w:font w:name="黑体">
    <w:altName w:val="汉仪中黑KW"/>
    <w:panose1 w:val="02010609060101010101"/>
    <w:charset w:val="00"/>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仿宋_GB2312K">
    <w:altName w:val="苹方-简"/>
    <w:panose1 w:val="00000000000000000000"/>
    <w:charset w:val="00"/>
    <w:family w:val="auto"/>
    <w:pitch w:val="default"/>
    <w:sig w:usb0="00000000" w:usb1="00000000" w:usb2="00000000" w:usb3="00000000" w:csb0="00000000" w:csb1="00000000"/>
  </w:font>
  <w:font w:name="兰亭黑-繁">
    <w:panose1 w:val="03000509000000000000"/>
    <w:charset w:val="88"/>
    <w:family w:val="auto"/>
    <w:pitch w:val="default"/>
    <w:sig w:usb0="00000001" w:usb1="080E0000" w:usb2="00000000" w:usb3="00000000" w:csb0="00100000"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9D"/>
    <w:rsid w:val="000128DE"/>
    <w:rsid w:val="00042166"/>
    <w:rsid w:val="00093776"/>
    <w:rsid w:val="0009593C"/>
    <w:rsid w:val="001041C2"/>
    <w:rsid w:val="00154C21"/>
    <w:rsid w:val="00164AB0"/>
    <w:rsid w:val="0019281F"/>
    <w:rsid w:val="00192890"/>
    <w:rsid w:val="00235BCE"/>
    <w:rsid w:val="0027117A"/>
    <w:rsid w:val="002A04D9"/>
    <w:rsid w:val="002B79CE"/>
    <w:rsid w:val="002C03D3"/>
    <w:rsid w:val="0037089E"/>
    <w:rsid w:val="00373F7F"/>
    <w:rsid w:val="003B213C"/>
    <w:rsid w:val="00423504"/>
    <w:rsid w:val="004F559C"/>
    <w:rsid w:val="0052685C"/>
    <w:rsid w:val="006B0462"/>
    <w:rsid w:val="00797F24"/>
    <w:rsid w:val="007A11BA"/>
    <w:rsid w:val="0092379B"/>
    <w:rsid w:val="00931C9D"/>
    <w:rsid w:val="00A802D3"/>
    <w:rsid w:val="00B13DD2"/>
    <w:rsid w:val="00B13FAC"/>
    <w:rsid w:val="00B632B4"/>
    <w:rsid w:val="00B82316"/>
    <w:rsid w:val="00C34B15"/>
    <w:rsid w:val="00C47900"/>
    <w:rsid w:val="00C72E53"/>
    <w:rsid w:val="00C73840"/>
    <w:rsid w:val="00C86F43"/>
    <w:rsid w:val="00CB39EE"/>
    <w:rsid w:val="00CC547F"/>
    <w:rsid w:val="00CF7ED9"/>
    <w:rsid w:val="00D056F3"/>
    <w:rsid w:val="00D61C2C"/>
    <w:rsid w:val="00D96561"/>
    <w:rsid w:val="00DB043A"/>
    <w:rsid w:val="00F30CF8"/>
    <w:rsid w:val="00F4361B"/>
    <w:rsid w:val="00F70D99"/>
    <w:rsid w:val="0B6F57C1"/>
    <w:rsid w:val="0D7B3F8C"/>
    <w:rsid w:val="14024ECD"/>
    <w:rsid w:val="14294E2D"/>
    <w:rsid w:val="17DA149C"/>
    <w:rsid w:val="1CF76319"/>
    <w:rsid w:val="22AD446F"/>
    <w:rsid w:val="27237A11"/>
    <w:rsid w:val="2EA42995"/>
    <w:rsid w:val="3BD7FD17"/>
    <w:rsid w:val="3F765D02"/>
    <w:rsid w:val="3FBFDB5E"/>
    <w:rsid w:val="5A3A06E3"/>
    <w:rsid w:val="5A54372A"/>
    <w:rsid w:val="76E035B5"/>
    <w:rsid w:val="76E76964"/>
    <w:rsid w:val="776D421B"/>
    <w:rsid w:val="7A9D763B"/>
    <w:rsid w:val="7FFF23F2"/>
    <w:rsid w:val="9727BCF5"/>
    <w:rsid w:val="B59250C1"/>
    <w:rsid w:val="DD8DA8A0"/>
    <w:rsid w:val="DEFD724A"/>
    <w:rsid w:val="E7CFC039"/>
    <w:rsid w:val="EFF72212"/>
    <w:rsid w:val="EFFB143C"/>
    <w:rsid w:val="F4FF6995"/>
    <w:rsid w:val="F68DA08A"/>
    <w:rsid w:val="F7FFE4EA"/>
    <w:rsid w:val="F8BD0EF7"/>
    <w:rsid w:val="FB7A01B2"/>
    <w:rsid w:val="FEBF503B"/>
    <w:rsid w:val="FF367C02"/>
    <w:rsid w:val="FF4B9DAD"/>
    <w:rsid w:val="FFBF4E65"/>
    <w:rsid w:val="FFC84222"/>
    <w:rsid w:val="FFD7433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5">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toc 1"/>
    <w:basedOn w:val="3"/>
    <w:next w:val="1"/>
    <w:unhideWhenUsed/>
    <w:uiPriority w:val="39"/>
    <w:pPr>
      <w:widowControl w:val="0"/>
      <w:tabs>
        <w:tab w:val="right" w:leader="dot" w:pos="8220"/>
      </w:tabs>
      <w:spacing w:after="0"/>
      <w:jc w:val="both"/>
    </w:pPr>
    <w:rPr>
      <w:rFonts w:ascii="宋体" w:hAnsi="宋体" w:eastAsia="宋体"/>
      <w:kern w:val="2"/>
      <w:sz w:val="21"/>
      <w:szCs w:val="24"/>
      <w:lang w:val="en-US" w:eastAsia="zh-CN" w:bidi="ar-SA"/>
    </w:rPr>
  </w:style>
  <w:style w:type="paragraph" w:styleId="3">
    <w:name w:val="index 1"/>
    <w:basedOn w:val="1"/>
    <w:next w:val="1"/>
    <w:unhideWhenUsed/>
    <w:uiPriority w:val="99"/>
    <w:pPr>
      <w:widowControl w:val="0"/>
      <w:spacing w:after="0"/>
      <w:jc w:val="both"/>
    </w:pPr>
    <w:rPr>
      <w:rFonts w:ascii="Calibri" w:hAnsi="Calibri" w:eastAsia="宋体"/>
      <w:kern w:val="2"/>
      <w:sz w:val="21"/>
      <w:szCs w:val="24"/>
      <w:lang w:val="en-US" w:eastAsia="zh-CN" w:bidi="ar-SA"/>
    </w:rPr>
  </w:style>
  <w:style w:type="paragraph" w:styleId="6">
    <w:name w:val="annotation subject"/>
    <w:basedOn w:val="7"/>
    <w:next w:val="7"/>
    <w:link w:val="22"/>
    <w:unhideWhenUsed/>
    <w:qFormat/>
    <w:uiPriority w:val="99"/>
    <w:rPr>
      <w:b/>
      <w:bCs/>
    </w:rPr>
  </w:style>
  <w:style w:type="paragraph" w:styleId="7">
    <w:name w:val="annotation text"/>
    <w:basedOn w:val="1"/>
    <w:link w:val="21"/>
    <w:unhideWhenUsed/>
    <w:qFormat/>
    <w:uiPriority w:val="99"/>
    <w:pPr>
      <w:jc w:val="left"/>
    </w:pPr>
  </w:style>
  <w:style w:type="paragraph" w:styleId="8">
    <w:name w:val="Balloon Text"/>
    <w:basedOn w:val="1"/>
    <w:link w:val="23"/>
    <w:unhideWhenUsed/>
    <w:qFormat/>
    <w:uiPriority w:val="99"/>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rPr>
  </w:style>
  <w:style w:type="character" w:styleId="13">
    <w:name w:val="annotation reference"/>
    <w:basedOn w:val="12"/>
    <w:unhideWhenUsed/>
    <w:qFormat/>
    <w:uiPriority w:val="99"/>
    <w:rPr>
      <w:sz w:val="21"/>
      <w:szCs w:val="21"/>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
    <w:name w:val="标题 3 Char"/>
    <w:basedOn w:val="12"/>
    <w:link w:val="5"/>
    <w:qFormat/>
    <w:uiPriority w:val="9"/>
    <w:rPr>
      <w:rFonts w:ascii="宋体" w:hAnsi="宋体" w:eastAsia="宋体" w:cs="宋体"/>
      <w:b/>
      <w:bCs/>
      <w:kern w:val="0"/>
      <w:sz w:val="27"/>
      <w:szCs w:val="27"/>
    </w:rPr>
  </w:style>
  <w:style w:type="paragraph" w:customStyle="1" w:styleId="17">
    <w:name w:val="p1"/>
    <w:basedOn w:val="1"/>
    <w:qFormat/>
    <w:uiPriority w:val="0"/>
    <w:pPr>
      <w:spacing w:line="380" w:lineRule="atLeast"/>
      <w:jc w:val="left"/>
    </w:pPr>
    <w:rPr>
      <w:rFonts w:ascii="pingfang sc" w:hAnsi="pingfang sc" w:eastAsia="pingfang sc" w:cs="Times New Roman"/>
      <w:kern w:val="0"/>
      <w:sz w:val="26"/>
      <w:szCs w:val="26"/>
    </w:rPr>
  </w:style>
  <w:style w:type="character" w:customStyle="1" w:styleId="18">
    <w:name w:val="s1"/>
    <w:basedOn w:val="12"/>
    <w:qFormat/>
    <w:uiPriority w:val="0"/>
    <w:rPr>
      <w:rFonts w:ascii="Helvetica Neue" w:hAnsi="Helvetica Neue" w:eastAsia="Helvetica Neue" w:cs="Helvetica Neue"/>
      <w:sz w:val="26"/>
      <w:szCs w:val="26"/>
    </w:rPr>
  </w:style>
  <w:style w:type="character" w:customStyle="1" w:styleId="19">
    <w:name w:val="页眉 Char"/>
    <w:basedOn w:val="12"/>
    <w:link w:val="10"/>
    <w:qFormat/>
    <w:uiPriority w:val="99"/>
    <w:rPr>
      <w:rFonts w:asciiTheme="minorHAnsi" w:hAnsiTheme="minorHAnsi" w:eastAsiaTheme="minorEastAsia" w:cstheme="minorBidi"/>
      <w:kern w:val="2"/>
      <w:sz w:val="18"/>
      <w:szCs w:val="18"/>
    </w:rPr>
  </w:style>
  <w:style w:type="character" w:customStyle="1" w:styleId="20">
    <w:name w:val="页脚 Char"/>
    <w:basedOn w:val="12"/>
    <w:link w:val="9"/>
    <w:qFormat/>
    <w:uiPriority w:val="99"/>
    <w:rPr>
      <w:rFonts w:asciiTheme="minorHAnsi" w:hAnsiTheme="minorHAnsi" w:eastAsiaTheme="minorEastAsia" w:cstheme="minorBidi"/>
      <w:kern w:val="2"/>
      <w:sz w:val="18"/>
      <w:szCs w:val="18"/>
    </w:rPr>
  </w:style>
  <w:style w:type="character" w:customStyle="1" w:styleId="21">
    <w:name w:val="批注文字 Char"/>
    <w:basedOn w:val="12"/>
    <w:link w:val="7"/>
    <w:semiHidden/>
    <w:qFormat/>
    <w:uiPriority w:val="99"/>
    <w:rPr>
      <w:rFonts w:asciiTheme="minorHAnsi" w:hAnsiTheme="minorHAnsi" w:eastAsiaTheme="minorEastAsia" w:cstheme="minorBidi"/>
      <w:kern w:val="2"/>
      <w:sz w:val="24"/>
      <w:szCs w:val="24"/>
    </w:rPr>
  </w:style>
  <w:style w:type="character" w:customStyle="1" w:styleId="22">
    <w:name w:val="批注主题 Char"/>
    <w:basedOn w:val="21"/>
    <w:link w:val="6"/>
    <w:semiHidden/>
    <w:qFormat/>
    <w:uiPriority w:val="99"/>
    <w:rPr>
      <w:rFonts w:asciiTheme="minorHAnsi" w:hAnsiTheme="minorHAnsi" w:eastAsiaTheme="minorEastAsia" w:cstheme="minorBidi"/>
      <w:b/>
      <w:bCs/>
      <w:kern w:val="2"/>
      <w:sz w:val="24"/>
      <w:szCs w:val="24"/>
    </w:rPr>
  </w:style>
  <w:style w:type="character" w:customStyle="1" w:styleId="23">
    <w:name w:val="批注框文本 Char"/>
    <w:basedOn w:val="12"/>
    <w:link w:val="8"/>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466</Words>
  <Characters>2660</Characters>
  <Lines>22</Lines>
  <Paragraphs>6</Paragraphs>
  <ScaleCrop>false</ScaleCrop>
  <LinksUpToDate>false</LinksUpToDate>
  <CharactersWithSpaces>3120</CharactersWithSpaces>
  <Application>WPS Office_1.2.1.1575_F1E327BC-269C-435d-A152-05C5408002CA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2019-05-02T00:20:00Z</dcterms:created>
  <dc:creator>颖颖 马</dc:creator>
  <cp:lastModifiedBy>qiuqiudeng</cp:lastModifiedBy>
  <cp:lastPrinted>2019-05-08T00:47:00Z</cp:lastPrinted>
  <dcterms:modified xsi:type="dcterms:W3CDTF">2019-06-26T11:01:48Z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2052-1.2.1.1575</vt:lpwstr>
  </property>
</Properties>
</file>